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44"/>
          <w:szCs w:val="44"/>
          <w:u w:val="single"/>
          <w:lang w:val="en-US" w:eastAsia="zh-CN"/>
        </w:rPr>
      </w:pPr>
      <w:r>
        <w:rPr>
          <w:rFonts w:hint="eastAsia" w:ascii="华文仿宋" w:hAnsi="华文仿宋" w:eastAsia="华文仿宋"/>
          <w:b/>
          <w:sz w:val="44"/>
          <w:szCs w:val="44"/>
          <w:u w:val="single"/>
          <w:lang w:val="en-US" w:eastAsia="zh-CN"/>
        </w:rPr>
        <w:t xml:space="preserve"> 博孜1203井钻机基础设计、勘察、施工</w:t>
      </w:r>
      <w:r>
        <w:rPr>
          <w:rFonts w:hint="eastAsia" w:ascii="华文仿宋" w:hAnsi="华文仿宋" w:eastAsia="华文仿宋"/>
          <w:b/>
          <w:sz w:val="44"/>
          <w:szCs w:val="44"/>
          <w:u w:val="none"/>
          <w:lang w:val="en-US" w:eastAsia="zh-CN"/>
        </w:rPr>
        <w:t>项目</w:t>
      </w:r>
    </w:p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询价邀请书</w:t>
      </w:r>
    </w:p>
    <w:p>
      <w:pPr>
        <w:jc w:val="left"/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29"/>
        <w:jc w:val="left"/>
        <w:textAlignment w:val="auto"/>
        <w:outlineLvl w:val="9"/>
        <w:rPr>
          <w:rFonts w:hint="eastAsia" w:ascii="华文中宋" w:hAnsi="华文中宋" w:eastAsia="华文中宋" w:cs="华文中宋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sz w:val="24"/>
          <w:szCs w:val="24"/>
          <w:highlight w:val="none"/>
          <w:lang w:val="en-US" w:eastAsia="zh-CN"/>
        </w:rPr>
        <w:t>报价人应遵循诚实信用的原则参与投标，所有失信行为将严格按照中油物装〔2019〕144号《中国石油天然气集团有限公司投标人失信行为管理办法（试行）》进行处理。请规范投标，诚信履约。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29"/>
        <w:jc w:val="left"/>
        <w:textAlignment w:val="auto"/>
        <w:outlineLvl w:val="9"/>
        <w:rPr>
          <w:rFonts w:hint="eastAsia" w:ascii="华文中宋" w:hAnsi="华文中宋" w:eastAsia="华文中宋" w:cs="华文中宋"/>
          <w:color w:val="FF000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1"/>
        </w:numPr>
        <w:ind w:firstLine="641" w:firstLineChars="200"/>
        <w:jc w:val="left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询价概况</w:t>
      </w:r>
    </w:p>
    <w:p>
      <w:pPr>
        <w:numPr>
          <w:ilvl w:val="0"/>
          <w:numId w:val="0"/>
        </w:numPr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《</w:t>
      </w:r>
      <w:r>
        <w:rPr>
          <w:rFonts w:hint="eastAsia" w:ascii="华文仿宋" w:hAnsi="华文仿宋" w:eastAsia="华文仿宋"/>
          <w:sz w:val="32"/>
          <w:szCs w:val="32"/>
          <w:highlight w:val="none"/>
          <w:u w:val="single"/>
        </w:rPr>
        <w:t xml:space="preserve"> 2019年钻机基础勘察、设计、施工工程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》（招标编号：</w:t>
      </w:r>
      <w:r>
        <w:rPr>
          <w:rFonts w:hint="eastAsia" w:ascii="华文仿宋" w:hAnsi="华文仿宋" w:eastAsia="华文仿宋"/>
          <w:sz w:val="32"/>
          <w:szCs w:val="32"/>
          <w:highlight w:val="none"/>
          <w:u w:val="single"/>
        </w:rPr>
        <w:t>TLM19-K104-138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）入围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承包商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：</w:t>
      </w:r>
    </w:p>
    <w:p>
      <w:pPr>
        <w:ind w:firstLine="63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根据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本项目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入围结果和中国石油天然气股份有限公司塔里木油田分公司</w:t>
      </w:r>
      <w:sdt>
        <w:sdtPr>
          <w:rPr>
            <w:rFonts w:hint="eastAsia" w:ascii="华文仿宋" w:hAnsi="华文仿宋" w:eastAsia="华文仿宋" w:cstheme="minorBidi"/>
            <w:kern w:val="2"/>
            <w:sz w:val="32"/>
            <w:szCs w:val="32"/>
            <w:highlight w:val="none"/>
            <w:lang w:val="en-US" w:eastAsia="zh-CN" w:bidi="ar-SA"/>
          </w:rPr>
          <w:id w:val="147479964"/>
          <w:lock w:val="sdtLocked"/>
          <w:placeholder>
            <w:docPart w:val="{1abf9001-feef-4d80-8f01-2dc265ac9ec9}"/>
          </w:placeholder>
          <w:dropDownList>
            <w:listItem w:displayText="勘探事业部" w:value="勘探事业部"/>
            <w:listItem w:displayText="油气田产能建设事业部" w:value="油气田产能建设事业部"/>
          </w:dropDownList>
        </w:sdtPr>
        <w:sdtEndPr>
          <w:rPr>
            <w:rFonts w:hint="eastAsia" w:ascii="华文仿宋" w:hAnsi="华文仿宋" w:eastAsia="华文仿宋" w:cstheme="minorBidi"/>
            <w:kern w:val="2"/>
            <w:sz w:val="32"/>
            <w:szCs w:val="32"/>
            <w:highlight w:val="none"/>
            <w:lang w:val="en-US" w:eastAsia="zh-CN" w:bidi="ar-SA"/>
          </w:rPr>
        </w:sdtEndPr>
        <w:sdtContent>
          <w:r>
            <w:rPr>
              <w:rFonts w:hint="eastAsia" w:ascii="华文仿宋" w:hAnsi="华文仿宋" w:eastAsia="华文仿宋" w:cstheme="minorBidi"/>
              <w:kern w:val="2"/>
              <w:sz w:val="32"/>
              <w:szCs w:val="32"/>
              <w:highlight w:val="yellow"/>
              <w:lang w:val="en-US" w:eastAsia="zh-CN" w:bidi="ar-SA"/>
            </w:rPr>
            <w:t>油气田产能建设事业部</w:t>
          </w:r>
        </w:sdtContent>
      </w:sdt>
      <w:r>
        <w:rPr>
          <w:rFonts w:hint="eastAsia" w:ascii="华文仿宋" w:hAnsi="华文仿宋" w:eastAsia="华文仿宋"/>
          <w:sz w:val="32"/>
          <w:szCs w:val="32"/>
          <w:highlight w:val="none"/>
        </w:rPr>
        <w:t>生产安排，现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邀请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入围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承包商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参</w:t>
      </w:r>
      <w:r>
        <w:rPr>
          <w:rFonts w:hint="eastAsia" w:ascii="华文仿宋" w:hAnsi="华文仿宋" w:eastAsia="华文仿宋"/>
          <w:sz w:val="32"/>
          <w:szCs w:val="32"/>
        </w:rPr>
        <w:t>加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本项目单井</w:t>
      </w:r>
      <w:r>
        <w:rPr>
          <w:rFonts w:hint="eastAsia" w:ascii="华文仿宋" w:hAnsi="华文仿宋" w:eastAsia="华文仿宋"/>
          <w:sz w:val="32"/>
          <w:szCs w:val="32"/>
        </w:rPr>
        <w:t>询比价。</w:t>
      </w:r>
    </w:p>
    <w:tbl>
      <w:tblPr>
        <w:tblStyle w:val="5"/>
        <w:tblW w:w="7188" w:type="dxa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731"/>
        <w:gridCol w:w="4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单井项目</w:t>
            </w:r>
          </w:p>
        </w:tc>
        <w:tc>
          <w:tcPr>
            <w:tcW w:w="46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博孜1203井钻机基础设计、勘察、施工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46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3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vertAlign w:val="baseline"/>
                <w:lang w:val="en-US" w:eastAsia="zh-CN"/>
              </w:rPr>
              <w:t>TLM20-K106-030</w:t>
            </w:r>
          </w:p>
        </w:tc>
        <w:tc>
          <w:tcPr>
            <w:tcW w:w="4694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vertAlign w:val="baseline"/>
                <w:lang w:val="en-US" w:eastAsia="zh-CN"/>
              </w:rPr>
              <w:t>博孜1203井</w:t>
            </w:r>
          </w:p>
        </w:tc>
      </w:tr>
    </w:tbl>
    <w:p>
      <w:pPr>
        <w:numPr>
          <w:ilvl w:val="0"/>
          <w:numId w:val="1"/>
        </w:numPr>
        <w:ind w:left="0" w:leftChars="0" w:firstLine="641" w:firstLineChars="200"/>
        <w:jc w:val="left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项目概况及工作量</w:t>
      </w:r>
    </w:p>
    <w:p>
      <w:pPr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详见工作量清单。</w:t>
      </w:r>
    </w:p>
    <w:p>
      <w:pPr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三</w:t>
      </w:r>
      <w:r>
        <w:rPr>
          <w:rFonts w:hint="eastAsia" w:ascii="华文仿宋" w:hAnsi="华文仿宋" w:eastAsia="华文仿宋"/>
          <w:b/>
          <w:sz w:val="32"/>
          <w:szCs w:val="32"/>
        </w:rPr>
        <w:t>、技术和质量要求</w:t>
      </w:r>
    </w:p>
    <w:p>
      <w:pPr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合格。</w:t>
      </w:r>
    </w:p>
    <w:p>
      <w:pPr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、工期</w:t>
      </w:r>
    </w:p>
    <w:p>
      <w:pPr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  甲方通知为准。</w:t>
      </w:r>
    </w:p>
    <w:p>
      <w:pPr>
        <w:jc w:val="left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、报价要求</w:t>
      </w:r>
    </w:p>
    <w:p>
      <w:pPr>
        <w:jc w:val="left"/>
        <w:rPr>
          <w:rFonts w:hint="eastAsia"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 xml:space="preserve"> 1、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在甲方联合审定价基础上下浮（下浮比例≥5%），报价单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详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见附件。</w:t>
      </w:r>
    </w:p>
    <w:p>
      <w:pPr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2、报价人需按单井进行报价。</w:t>
      </w:r>
    </w:p>
    <w:p>
      <w:pPr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3、未注明或未按要求填写报价的视为无效报价。</w:t>
      </w:r>
    </w:p>
    <w:p>
      <w:pPr>
        <w:numPr>
          <w:ilvl w:val="0"/>
          <w:numId w:val="0"/>
        </w:numPr>
        <w:ind w:firstLine="641" w:firstLineChars="200"/>
        <w:jc w:val="left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六</w:t>
      </w:r>
      <w:r>
        <w:rPr>
          <w:rFonts w:hint="eastAsia" w:ascii="华文仿宋" w:hAnsi="华文仿宋" w:eastAsia="华文仿宋"/>
          <w:b/>
          <w:sz w:val="32"/>
          <w:szCs w:val="32"/>
        </w:rPr>
        <w:t>、报价单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的</w:t>
      </w:r>
      <w:r>
        <w:rPr>
          <w:rFonts w:hint="eastAsia" w:ascii="华文仿宋" w:hAnsi="华文仿宋" w:eastAsia="华文仿宋"/>
          <w:b/>
          <w:sz w:val="32"/>
          <w:szCs w:val="32"/>
        </w:rPr>
        <w:t>密封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报价单为多页的需进行装订，每页加盖公章密封于信封中，信封封面须标明项目名称、单位名称，封口处需加盖公章。</w:t>
      </w:r>
    </w:p>
    <w:p>
      <w:pPr>
        <w:ind w:firstLine="645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七</w:t>
      </w:r>
      <w:r>
        <w:rPr>
          <w:rFonts w:hint="eastAsia" w:ascii="华文仿宋" w:hAnsi="华文仿宋" w:eastAsia="华文仿宋"/>
          <w:b/>
          <w:sz w:val="32"/>
          <w:szCs w:val="32"/>
        </w:rPr>
        <w:t>、拒收情形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有下列情形之一的，将拒收报价单：</w:t>
      </w:r>
    </w:p>
    <w:p>
      <w:pPr>
        <w:numPr>
          <w:ilvl w:val="0"/>
          <w:numId w:val="2"/>
        </w:numPr>
        <w:ind w:firstLine="645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报价单未按要求进行</w:t>
      </w:r>
      <w:r>
        <w:rPr>
          <w:rFonts w:hint="eastAsia" w:ascii="华文仿宋" w:hAnsi="华文仿宋" w:eastAsia="华文仿宋"/>
          <w:sz w:val="32"/>
          <w:szCs w:val="32"/>
        </w:rPr>
        <w:t>密封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的。2、非本项目入围承包商而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向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询价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人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递交报价单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的。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/>
          <w:sz w:val="32"/>
          <w:szCs w:val="32"/>
        </w:rPr>
        <w:t>报价单逾期递交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的。4、</w:t>
      </w:r>
      <w:r>
        <w:rPr>
          <w:rFonts w:hint="eastAsia" w:ascii="华文仿宋" w:hAnsi="华文仿宋" w:eastAsia="华文仿宋"/>
          <w:sz w:val="32"/>
          <w:szCs w:val="32"/>
        </w:rPr>
        <w:t>报价单未送达至指定地点的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1" w:firstLine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八</w:t>
      </w:r>
      <w:r>
        <w:rPr>
          <w:rFonts w:hint="eastAsia" w:ascii="华文仿宋" w:hAnsi="华文仿宋" w:eastAsia="华文仿宋"/>
          <w:b/>
          <w:sz w:val="32"/>
          <w:szCs w:val="32"/>
        </w:rPr>
        <w:t>、无效报价情形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/>
          <w:sz w:val="32"/>
          <w:szCs w:val="32"/>
        </w:rPr>
        <w:t>未按报价要求报价的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/>
          <w:sz w:val="32"/>
          <w:szCs w:val="32"/>
        </w:rPr>
        <w:t>报价无法识别的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/>
          <w:sz w:val="32"/>
          <w:szCs w:val="32"/>
        </w:rPr>
        <w:t>报价单未加盖报价人公章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的。4、未按要求承诺施工质量及要求的。5、承诺工期不符合要求的。</w:t>
      </w:r>
    </w:p>
    <w:p>
      <w:pPr>
        <w:ind w:firstLine="645"/>
        <w:jc w:val="left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九、成交原则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满足询价项目技术、质量和工期要求，按规定内容和格式报价，且报价最低的报价人确定为成交承包商。若报价相同，按项目入围结果排名顺序优先确定。</w:t>
      </w:r>
    </w:p>
    <w:p>
      <w:pPr>
        <w:numPr>
          <w:ilvl w:val="0"/>
          <w:numId w:val="3"/>
        </w:numPr>
        <w:ind w:firstLine="645"/>
        <w:jc w:val="left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询价时间</w:t>
      </w:r>
    </w:p>
    <w:p>
      <w:pPr>
        <w:numPr>
          <w:ilvl w:val="0"/>
          <w:numId w:val="4"/>
        </w:num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询价邀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请公告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时间：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highlight w:val="yellow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highlight w:val="yellow"/>
          <w:lang w:val="en-US" w:eastAsia="zh-CN"/>
        </w:rPr>
        <w:t>2020年4月14日08：00至4月17日08：00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2、报价单递交截止时间：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highlight w:val="yellow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highlight w:val="yellow"/>
          <w:lang w:val="en-US" w:eastAsia="zh-CN"/>
        </w:rPr>
        <w:t>2020年4月20日10时30分（北京时间）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highlight w:val="yellow"/>
          <w:lang w:val="en-US" w:eastAsia="zh-CN"/>
        </w:rPr>
        <w:t>3、递交地点：塔指小区电子商务大厅第</w:t>
      </w:r>
      <w:r>
        <w:rPr>
          <w:rFonts w:hint="eastAsia" w:ascii="华文仿宋" w:hAnsi="华文仿宋" w:eastAsia="华文仿宋"/>
          <w:sz w:val="32"/>
          <w:szCs w:val="32"/>
          <w:highlight w:val="yellow"/>
          <w:u w:val="single"/>
          <w:lang w:val="en-US" w:eastAsia="zh-CN"/>
        </w:rPr>
        <w:t xml:space="preserve"> 1 </w:t>
      </w:r>
      <w:r>
        <w:rPr>
          <w:rFonts w:hint="eastAsia" w:ascii="华文仿宋" w:hAnsi="华文仿宋" w:eastAsia="华文仿宋"/>
          <w:sz w:val="32"/>
          <w:szCs w:val="32"/>
          <w:highlight w:val="yellow"/>
          <w:lang w:val="en-US" w:eastAsia="zh-CN"/>
        </w:rPr>
        <w:t xml:space="preserve">开标室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。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4、逾期送达或未送达指定地点的报价单，将不予受理。</w:t>
      </w:r>
    </w:p>
    <w:p>
      <w:pPr>
        <w:ind w:firstLine="645"/>
        <w:jc w:val="left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十一、比价时间</w:t>
      </w:r>
    </w:p>
    <w:p>
      <w:pPr>
        <w:ind w:firstLine="645"/>
        <w:jc w:val="left"/>
        <w:rPr>
          <w:rFonts w:hint="eastAsia" w:ascii="华文仿宋" w:hAnsi="华文仿宋" w:eastAsia="华文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/>
          <w:bCs/>
          <w:sz w:val="32"/>
          <w:szCs w:val="32"/>
          <w:highlight w:val="none"/>
          <w:lang w:val="en-US" w:eastAsia="zh-CN"/>
        </w:rPr>
        <w:t>同报价单递交截止时间</w:t>
      </w:r>
    </w:p>
    <w:p>
      <w:pPr>
        <w:ind w:firstLine="645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十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二</w:t>
      </w:r>
      <w:r>
        <w:rPr>
          <w:rFonts w:hint="eastAsia" w:ascii="华文仿宋" w:hAnsi="华文仿宋" w:eastAsia="华文仿宋"/>
          <w:b/>
          <w:sz w:val="32"/>
          <w:szCs w:val="32"/>
        </w:rPr>
        <w:t>、联系方式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询价人：</w:t>
      </w:r>
      <w:sdt>
        <w:sdtPr>
          <w:rPr>
            <w:rFonts w:hint="eastAsia" w:ascii="华文仿宋" w:hAnsi="华文仿宋" w:eastAsia="华文仿宋" w:cstheme="minorBidi"/>
            <w:kern w:val="2"/>
            <w:sz w:val="32"/>
            <w:szCs w:val="32"/>
            <w:lang w:val="en-US" w:eastAsia="zh-CN" w:bidi="ar-SA"/>
          </w:rPr>
          <w:id w:val="147466368"/>
          <w:placeholder>
            <w:docPart w:val="{86d035f3-e9d7-4d95-971e-a9e5485cfb25}"/>
          </w:placeholder>
          <w:dropDownList>
            <w:listItem w:displayText="油气田产能建设事业部" w:value="油气田产能建设事业部"/>
            <w:listItem w:displayText="勘探事业部" w:value="勘探事业部"/>
          </w:dropDownList>
        </w:sdtPr>
        <w:sdtEndPr>
          <w:rPr>
            <w:rFonts w:hint="eastAsia" w:ascii="华文仿宋" w:hAnsi="华文仿宋" w:eastAsia="华文仿宋" w:cstheme="minorBidi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华文仿宋" w:hAnsi="华文仿宋" w:eastAsia="华文仿宋" w:cstheme="minorBidi"/>
              <w:kern w:val="2"/>
              <w:sz w:val="32"/>
              <w:szCs w:val="32"/>
              <w:lang w:val="en-US" w:eastAsia="zh-CN" w:bidi="ar-SA"/>
            </w:rPr>
            <w:t>油气田产能建设事业部</w:t>
          </w:r>
        </w:sdtContent>
      </w:sdt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地  址：塔里木油田公司油气田产能建设事业部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联系人：李凯        联系方式：2172444/18139061031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询价代理机构：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中国石油物资有限公司</w:t>
      </w: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地  址：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塔里木油田公司电子商务大厅</w:t>
      </w:r>
    </w:p>
    <w:p>
      <w:pPr>
        <w:ind w:firstLine="645"/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联系人：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舍超       </w:t>
      </w:r>
      <w:r>
        <w:rPr>
          <w:rFonts w:hint="eastAsia" w:ascii="华文仿宋" w:hAnsi="华文仿宋" w:eastAsia="华文仿宋"/>
          <w:sz w:val="32"/>
          <w:szCs w:val="32"/>
        </w:rPr>
        <w:t>联系方式：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2174148</w:t>
      </w:r>
      <w:bookmarkStart w:id="0" w:name="_GoBack"/>
      <w:bookmarkEnd w:id="0"/>
    </w:p>
    <w:p>
      <w:pPr>
        <w:ind w:firstLine="645"/>
        <w:jc w:val="both"/>
        <w:rPr>
          <w:rFonts w:ascii="华文仿宋" w:hAnsi="华文仿宋" w:eastAsia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ascii="华文仿宋" w:hAnsi="华文仿宋" w:eastAsia="华文仿宋"/>
          <w:sz w:val="32"/>
          <w:szCs w:val="32"/>
        </w:rPr>
        <w:drawing>
          <wp:inline distT="0" distB="0" distL="114300" distR="114300">
            <wp:extent cx="2357120" cy="2072640"/>
            <wp:effectExtent l="0" t="0" r="3175" b="7620"/>
            <wp:docPr id="2" name="图片 2" descr="QQ图片2020031919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3191957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 xml:space="preserve">          </w:t>
      </w:r>
    </w:p>
    <w:sectPr>
      <w:footerReference r:id="rId3" w:type="default"/>
      <w:pgSz w:w="11906" w:h="16838"/>
      <w:pgMar w:top="1440" w:right="128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93729B"/>
    <w:multiLevelType w:val="singleLevel"/>
    <w:tmpl w:val="D193729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75B2ECD"/>
    <w:multiLevelType w:val="singleLevel"/>
    <w:tmpl w:val="E75B2EC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F2A01F7"/>
    <w:multiLevelType w:val="singleLevel"/>
    <w:tmpl w:val="EF2A01F7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4E210AF"/>
    <w:multiLevelType w:val="singleLevel"/>
    <w:tmpl w:val="F4E210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0998"/>
    <w:rsid w:val="00033CF1"/>
    <w:rsid w:val="000365EB"/>
    <w:rsid w:val="00036F62"/>
    <w:rsid w:val="00040B3D"/>
    <w:rsid w:val="00041EF0"/>
    <w:rsid w:val="000B47C7"/>
    <w:rsid w:val="00120B11"/>
    <w:rsid w:val="0016791F"/>
    <w:rsid w:val="001757CC"/>
    <w:rsid w:val="0020508F"/>
    <w:rsid w:val="0021052F"/>
    <w:rsid w:val="002342E1"/>
    <w:rsid w:val="00347BFF"/>
    <w:rsid w:val="00354CB9"/>
    <w:rsid w:val="003B79B1"/>
    <w:rsid w:val="0040068B"/>
    <w:rsid w:val="004A6BF6"/>
    <w:rsid w:val="004B42B9"/>
    <w:rsid w:val="004D1E1D"/>
    <w:rsid w:val="0058711C"/>
    <w:rsid w:val="006B6A36"/>
    <w:rsid w:val="006E2646"/>
    <w:rsid w:val="0074447A"/>
    <w:rsid w:val="00767F3A"/>
    <w:rsid w:val="00780E95"/>
    <w:rsid w:val="007956F6"/>
    <w:rsid w:val="007D531D"/>
    <w:rsid w:val="00804603"/>
    <w:rsid w:val="00816115"/>
    <w:rsid w:val="008F3765"/>
    <w:rsid w:val="009A60BE"/>
    <w:rsid w:val="009C614B"/>
    <w:rsid w:val="00A2417E"/>
    <w:rsid w:val="00A3516E"/>
    <w:rsid w:val="00AC74E7"/>
    <w:rsid w:val="00AD64D7"/>
    <w:rsid w:val="00AF14CE"/>
    <w:rsid w:val="00B0782F"/>
    <w:rsid w:val="00B750E5"/>
    <w:rsid w:val="00B82D58"/>
    <w:rsid w:val="00B97E23"/>
    <w:rsid w:val="00BD5C68"/>
    <w:rsid w:val="00C01F44"/>
    <w:rsid w:val="00C65F1D"/>
    <w:rsid w:val="00C83157"/>
    <w:rsid w:val="00CE5F8F"/>
    <w:rsid w:val="00E02D2A"/>
    <w:rsid w:val="00E70180"/>
    <w:rsid w:val="00E946E6"/>
    <w:rsid w:val="00EC37B5"/>
    <w:rsid w:val="00F329D4"/>
    <w:rsid w:val="00F84CDF"/>
    <w:rsid w:val="018163CE"/>
    <w:rsid w:val="01F32139"/>
    <w:rsid w:val="03D54B5C"/>
    <w:rsid w:val="03E811FE"/>
    <w:rsid w:val="03F0732E"/>
    <w:rsid w:val="04193F2E"/>
    <w:rsid w:val="04924283"/>
    <w:rsid w:val="04A51ECD"/>
    <w:rsid w:val="069229FB"/>
    <w:rsid w:val="076433D8"/>
    <w:rsid w:val="08BC0E24"/>
    <w:rsid w:val="08E26F7F"/>
    <w:rsid w:val="09574A63"/>
    <w:rsid w:val="09A82E5E"/>
    <w:rsid w:val="09CF7730"/>
    <w:rsid w:val="0B106A87"/>
    <w:rsid w:val="0BC7428A"/>
    <w:rsid w:val="0CD82D2B"/>
    <w:rsid w:val="0D64620E"/>
    <w:rsid w:val="0DE20BC2"/>
    <w:rsid w:val="0EB55BFD"/>
    <w:rsid w:val="0EBE6C03"/>
    <w:rsid w:val="10D734F9"/>
    <w:rsid w:val="11970262"/>
    <w:rsid w:val="126C724F"/>
    <w:rsid w:val="12B44833"/>
    <w:rsid w:val="12E42D3F"/>
    <w:rsid w:val="14A25FB3"/>
    <w:rsid w:val="15C7767E"/>
    <w:rsid w:val="16C46D4C"/>
    <w:rsid w:val="1834792C"/>
    <w:rsid w:val="185F1D3C"/>
    <w:rsid w:val="187E5B7A"/>
    <w:rsid w:val="19A56DE1"/>
    <w:rsid w:val="1AD65461"/>
    <w:rsid w:val="1B8653F6"/>
    <w:rsid w:val="1C1F0B31"/>
    <w:rsid w:val="1C1F62C1"/>
    <w:rsid w:val="1C392368"/>
    <w:rsid w:val="1C645C77"/>
    <w:rsid w:val="1C886FBF"/>
    <w:rsid w:val="1E032415"/>
    <w:rsid w:val="1E4E1E7F"/>
    <w:rsid w:val="1F575E5E"/>
    <w:rsid w:val="1FAD751E"/>
    <w:rsid w:val="22A3515F"/>
    <w:rsid w:val="22BA0E90"/>
    <w:rsid w:val="22EF3954"/>
    <w:rsid w:val="23331584"/>
    <w:rsid w:val="23CF0649"/>
    <w:rsid w:val="248B0343"/>
    <w:rsid w:val="26590BC0"/>
    <w:rsid w:val="27290A65"/>
    <w:rsid w:val="27E34E63"/>
    <w:rsid w:val="28BA1E67"/>
    <w:rsid w:val="28BF5DB8"/>
    <w:rsid w:val="294277DC"/>
    <w:rsid w:val="2AC334E9"/>
    <w:rsid w:val="2B412445"/>
    <w:rsid w:val="2BE30EFD"/>
    <w:rsid w:val="2CAF0A7B"/>
    <w:rsid w:val="2CCF3712"/>
    <w:rsid w:val="2D064795"/>
    <w:rsid w:val="2D241E5C"/>
    <w:rsid w:val="2DFF3B2A"/>
    <w:rsid w:val="2EE11781"/>
    <w:rsid w:val="2EE65496"/>
    <w:rsid w:val="30491D0F"/>
    <w:rsid w:val="30ED5157"/>
    <w:rsid w:val="31082F25"/>
    <w:rsid w:val="313D38D3"/>
    <w:rsid w:val="31C75FD5"/>
    <w:rsid w:val="330B29D3"/>
    <w:rsid w:val="331C4B92"/>
    <w:rsid w:val="331D5D15"/>
    <w:rsid w:val="33387F54"/>
    <w:rsid w:val="342111F6"/>
    <w:rsid w:val="344D3F1F"/>
    <w:rsid w:val="34FF6C43"/>
    <w:rsid w:val="361D789C"/>
    <w:rsid w:val="36452D85"/>
    <w:rsid w:val="36A87E15"/>
    <w:rsid w:val="370D7611"/>
    <w:rsid w:val="376711BF"/>
    <w:rsid w:val="37BB6A59"/>
    <w:rsid w:val="37EA63C8"/>
    <w:rsid w:val="388F1354"/>
    <w:rsid w:val="38AC3AD0"/>
    <w:rsid w:val="39834DD4"/>
    <w:rsid w:val="3EB95C60"/>
    <w:rsid w:val="3F8F450A"/>
    <w:rsid w:val="3FA32B15"/>
    <w:rsid w:val="412A22DB"/>
    <w:rsid w:val="42B2164D"/>
    <w:rsid w:val="43936EE1"/>
    <w:rsid w:val="45A03798"/>
    <w:rsid w:val="45E20429"/>
    <w:rsid w:val="460E360A"/>
    <w:rsid w:val="463B3491"/>
    <w:rsid w:val="46B67560"/>
    <w:rsid w:val="4713279A"/>
    <w:rsid w:val="47A32DF8"/>
    <w:rsid w:val="48953B6F"/>
    <w:rsid w:val="49FB4B28"/>
    <w:rsid w:val="4AD1110B"/>
    <w:rsid w:val="4BBC153D"/>
    <w:rsid w:val="4C172EC2"/>
    <w:rsid w:val="4CD93204"/>
    <w:rsid w:val="4D0103EF"/>
    <w:rsid w:val="4F2E10B5"/>
    <w:rsid w:val="4F4F75CD"/>
    <w:rsid w:val="4F6C394A"/>
    <w:rsid w:val="4F8B4D8B"/>
    <w:rsid w:val="4FC74EE4"/>
    <w:rsid w:val="5106121B"/>
    <w:rsid w:val="514C642B"/>
    <w:rsid w:val="51887A29"/>
    <w:rsid w:val="527B6482"/>
    <w:rsid w:val="52B969F1"/>
    <w:rsid w:val="557C5567"/>
    <w:rsid w:val="563B01E4"/>
    <w:rsid w:val="56EF297D"/>
    <w:rsid w:val="57874D61"/>
    <w:rsid w:val="58856BA2"/>
    <w:rsid w:val="58CD7883"/>
    <w:rsid w:val="5A281E6D"/>
    <w:rsid w:val="5A370A63"/>
    <w:rsid w:val="5A672B79"/>
    <w:rsid w:val="5A9A0D81"/>
    <w:rsid w:val="5BF05B65"/>
    <w:rsid w:val="5D2F7868"/>
    <w:rsid w:val="5D835943"/>
    <w:rsid w:val="5E4E3AFC"/>
    <w:rsid w:val="5F971D85"/>
    <w:rsid w:val="60453BEC"/>
    <w:rsid w:val="61B538BB"/>
    <w:rsid w:val="61FA442B"/>
    <w:rsid w:val="633A3CB2"/>
    <w:rsid w:val="64414FC2"/>
    <w:rsid w:val="64E358B3"/>
    <w:rsid w:val="653B02DE"/>
    <w:rsid w:val="665B4088"/>
    <w:rsid w:val="6A27339C"/>
    <w:rsid w:val="6A30562D"/>
    <w:rsid w:val="6A7512F3"/>
    <w:rsid w:val="6AF00712"/>
    <w:rsid w:val="6B256C2F"/>
    <w:rsid w:val="6B972B12"/>
    <w:rsid w:val="6C575621"/>
    <w:rsid w:val="6D317411"/>
    <w:rsid w:val="6EDA3FD1"/>
    <w:rsid w:val="6FE13049"/>
    <w:rsid w:val="71F2375C"/>
    <w:rsid w:val="72157A91"/>
    <w:rsid w:val="73310605"/>
    <w:rsid w:val="74D6488B"/>
    <w:rsid w:val="768B21AF"/>
    <w:rsid w:val="76CD3BC9"/>
    <w:rsid w:val="77185A7F"/>
    <w:rsid w:val="775E15EC"/>
    <w:rsid w:val="77A62060"/>
    <w:rsid w:val="77D24B97"/>
    <w:rsid w:val="78B70DBC"/>
    <w:rsid w:val="79F95F24"/>
    <w:rsid w:val="7B284273"/>
    <w:rsid w:val="7B2B4493"/>
    <w:rsid w:val="7C36534E"/>
    <w:rsid w:val="7EBE3F5E"/>
    <w:rsid w:val="7EE431D9"/>
    <w:rsid w:val="7F160D80"/>
    <w:rsid w:val="7F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styleId="8">
    <w:name w:val="Hyperlink"/>
    <w:basedOn w:val="6"/>
    <w:semiHidden/>
    <w:unhideWhenUsed/>
    <w:uiPriority w:val="99"/>
    <w:rPr>
      <w:rFonts w:hint="eastAsia" w:ascii="宋体" w:hAnsi="宋体" w:eastAsia="宋体" w:cs="宋体"/>
      <w:color w:val="000000"/>
      <w:sz w:val="12"/>
      <w:szCs w:val="12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abf9001-feef-4d80-8f01-2dc265ac9e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bf9001-feef-4d80-8f01-2dc265ac9ec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6d035f3-e9d7-4d95-971e-a9e5485cfb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d035f3-e9d7-4d95-971e-a9e5485cfb25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882</Words>
  <Characters>915</Characters>
  <Lines>6</Lines>
  <Paragraphs>1</Paragraphs>
  <TotalTime>1</TotalTime>
  <ScaleCrop>false</ScaleCrop>
  <LinksUpToDate>false</LinksUpToDate>
  <CharactersWithSpaces>1046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2020-03-11T13:07:00Z</dcterms:created>
  <dc:creator>PC</dc:creator>
  <cp:lastModifiedBy>admin</cp:lastModifiedBy>
  <dcterms:modified xsi:type="dcterms:W3CDTF">2020-04-13T10:40:31Z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